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6F" w:rsidRDefault="00731909">
      <w:pPr>
        <w:pStyle w:val="Standard"/>
        <w:spacing w:after="0"/>
        <w:jc w:val="center"/>
      </w:pPr>
      <w:r>
        <w:rPr>
          <w:rFonts w:ascii="Gill Sans MT" w:hAnsi="Gill Sans MT"/>
          <w:b/>
          <w:sz w:val="36"/>
        </w:rPr>
        <w:t>Worcestershire World War 100 Hundred</w:t>
      </w:r>
    </w:p>
    <w:p w:rsidR="00B54D6F" w:rsidRDefault="00731909">
      <w:pPr>
        <w:pStyle w:val="Standard"/>
        <w:spacing w:after="0"/>
        <w:jc w:val="center"/>
      </w:pPr>
      <w:r>
        <w:rPr>
          <w:rFonts w:ascii="Gill Sans MT" w:hAnsi="Gill Sans MT"/>
          <w:b/>
          <w:sz w:val="36"/>
        </w:rPr>
        <w:t>Small Grants Fund</w:t>
      </w:r>
    </w:p>
    <w:p w:rsidR="00B54D6F" w:rsidRDefault="00B54D6F">
      <w:pPr>
        <w:pStyle w:val="Standard"/>
        <w:spacing w:after="0"/>
        <w:jc w:val="center"/>
        <w:rPr>
          <w:rFonts w:ascii="Gill Sans MT" w:hAnsi="Gill Sans MT"/>
          <w:sz w:val="12"/>
        </w:rPr>
      </w:pPr>
    </w:p>
    <w:p w:rsidR="00B54D6F" w:rsidRDefault="00731909">
      <w:pPr>
        <w:pStyle w:val="Standard"/>
        <w:spacing w:after="0"/>
        <w:rPr>
          <w:rFonts w:ascii="Gill Sans MT" w:hAnsi="Gill Sans MT"/>
        </w:rPr>
      </w:pPr>
      <w:r>
        <w:rPr>
          <w:rFonts w:ascii="Gill Sans MT" w:hAnsi="Gill Sans MT"/>
        </w:rPr>
        <w:t>The Worcestershire World War 100 Hundred Heritage Lottery Funded (HLF) project aims to commemorate the centenary of the First World War by bringing together organisations and communities across Worcestershire to highlight and share public collections and to remember the contribution of local families through stories, events and by bringing previously unseen private collections to public attention.</w:t>
      </w:r>
    </w:p>
    <w:p w:rsidR="00B54D6F" w:rsidRDefault="00B54D6F">
      <w:pPr>
        <w:pStyle w:val="Standard"/>
        <w:spacing w:after="0"/>
        <w:rPr>
          <w:rFonts w:ascii="Gill Sans MT" w:hAnsi="Gill Sans MT"/>
        </w:rPr>
      </w:pPr>
    </w:p>
    <w:p w:rsidR="00B54D6F" w:rsidRDefault="00731909">
      <w:pPr>
        <w:pStyle w:val="Standard"/>
        <w:spacing w:after="0"/>
        <w:rPr>
          <w:rFonts w:ascii="Gill Sans MT" w:hAnsi="Gill Sans MT"/>
        </w:rPr>
      </w:pPr>
      <w:r>
        <w:rPr>
          <w:rFonts w:ascii="Gill Sans MT" w:hAnsi="Gill Sans MT"/>
        </w:rPr>
        <w:t>The project has a Small Grants Fund to support community groups to engage in commemoration.  Individual grants of up to £500 are available.</w:t>
      </w:r>
    </w:p>
    <w:p w:rsidR="00B54D6F" w:rsidRDefault="00B54D6F">
      <w:pPr>
        <w:pStyle w:val="Standard"/>
        <w:spacing w:after="0"/>
        <w:rPr>
          <w:rFonts w:ascii="Gill Sans MT" w:hAnsi="Gill Sans MT"/>
        </w:rPr>
      </w:pPr>
    </w:p>
    <w:p w:rsidR="00B54D6F" w:rsidRDefault="00731909">
      <w:pPr>
        <w:pStyle w:val="Standard"/>
        <w:spacing w:after="0"/>
        <w:rPr>
          <w:rFonts w:ascii="Gill Sans MT" w:hAnsi="Gill Sans MT"/>
        </w:rPr>
      </w:pPr>
      <w:r>
        <w:rPr>
          <w:rFonts w:ascii="Gill Sans MT" w:hAnsi="Gill Sans MT"/>
        </w:rPr>
        <w:t>The project is keen to support communities to look at the local effect of the war on Worcestershire throughout the 5 years.  Every year, there will be a general pot available, but we will be supporting different themes each year.</w:t>
      </w:r>
    </w:p>
    <w:p w:rsidR="00B54D6F" w:rsidRDefault="00B54D6F">
      <w:pPr>
        <w:pStyle w:val="Standard"/>
        <w:spacing w:after="0"/>
        <w:rPr>
          <w:rFonts w:ascii="Gill Sans MT" w:hAnsi="Gill Sans MT"/>
        </w:rPr>
      </w:pPr>
    </w:p>
    <w:p w:rsidR="00B54D6F" w:rsidRDefault="00731909">
      <w:pPr>
        <w:pStyle w:val="Standard"/>
        <w:spacing w:after="0"/>
        <w:rPr>
          <w:rFonts w:ascii="Gill Sans MT" w:hAnsi="Gill Sans MT"/>
        </w:rPr>
      </w:pPr>
      <w:r>
        <w:rPr>
          <w:rFonts w:ascii="Gill Sans MT" w:hAnsi="Gill Sans MT"/>
        </w:rPr>
        <w:t>Year 1: Soldiers and families</w:t>
      </w:r>
    </w:p>
    <w:p w:rsidR="00B54D6F" w:rsidRDefault="00731909">
      <w:pPr>
        <w:pStyle w:val="Standard"/>
        <w:spacing w:after="0"/>
        <w:rPr>
          <w:rFonts w:ascii="Gill Sans MT" w:hAnsi="Gill Sans MT"/>
        </w:rPr>
      </w:pPr>
      <w:r>
        <w:rPr>
          <w:rFonts w:ascii="Gill Sans MT" w:hAnsi="Gill Sans MT"/>
        </w:rPr>
        <w:t>Year 2: Contribution of local people to the war</w:t>
      </w:r>
    </w:p>
    <w:p w:rsidR="00B54D6F" w:rsidRDefault="00731909">
      <w:pPr>
        <w:pStyle w:val="Standard"/>
        <w:spacing w:after="0"/>
        <w:rPr>
          <w:rFonts w:ascii="Gill Sans MT" w:hAnsi="Gill Sans MT"/>
        </w:rPr>
      </w:pPr>
      <w:r>
        <w:rPr>
          <w:rFonts w:ascii="Gill Sans MT" w:hAnsi="Gill Sans MT"/>
        </w:rPr>
        <w:t>Year 3: Improvements in healthcare</w:t>
      </w:r>
    </w:p>
    <w:p w:rsidR="00B54D6F" w:rsidRDefault="00731909">
      <w:pPr>
        <w:pStyle w:val="Standard"/>
        <w:spacing w:after="0"/>
        <w:rPr>
          <w:rFonts w:ascii="Gill Sans MT" w:hAnsi="Gill Sans MT"/>
        </w:rPr>
      </w:pPr>
      <w:r>
        <w:rPr>
          <w:rFonts w:ascii="Gill Sans MT" w:hAnsi="Gill Sans MT"/>
        </w:rPr>
        <w:t>Year 4: Effect on women: education and employment</w:t>
      </w:r>
    </w:p>
    <w:p w:rsidR="00B54D6F" w:rsidRDefault="00731909">
      <w:pPr>
        <w:pStyle w:val="Standard"/>
        <w:spacing w:after="0"/>
      </w:pPr>
      <w:r>
        <w:rPr>
          <w:rFonts w:ascii="Gill Sans MT" w:hAnsi="Gill Sans MT"/>
        </w:rPr>
        <w:t>Year 5: Legacy of the war in the 20</w:t>
      </w:r>
      <w:r>
        <w:rPr>
          <w:rFonts w:ascii="Gill Sans MT" w:hAnsi="Gill Sans MT"/>
          <w:vertAlign w:val="superscript"/>
        </w:rPr>
        <w:t>th</w:t>
      </w:r>
      <w:r>
        <w:rPr>
          <w:rFonts w:ascii="Gill Sans MT" w:hAnsi="Gill Sans MT"/>
        </w:rPr>
        <w:t xml:space="preserve"> century</w:t>
      </w:r>
    </w:p>
    <w:p w:rsidR="00B54D6F" w:rsidRDefault="00B54D6F">
      <w:pPr>
        <w:pStyle w:val="Standard"/>
        <w:spacing w:after="0"/>
        <w:rPr>
          <w:rFonts w:ascii="Gill Sans MT" w:hAnsi="Gill Sans MT"/>
        </w:rPr>
      </w:pPr>
    </w:p>
    <w:p w:rsidR="00B54D6F" w:rsidRDefault="00B54D6F">
      <w:pPr>
        <w:pStyle w:val="Standard"/>
        <w:spacing w:after="0"/>
        <w:rPr>
          <w:rFonts w:ascii="Gill Sans MT" w:hAnsi="Gill Sans MT"/>
          <w:b/>
          <w:sz w:val="12"/>
        </w:rPr>
      </w:pPr>
    </w:p>
    <w:p w:rsidR="00B54D6F" w:rsidRDefault="00731909">
      <w:pPr>
        <w:pStyle w:val="Standard"/>
        <w:spacing w:after="0"/>
        <w:jc w:val="center"/>
      </w:pPr>
      <w:r>
        <w:rPr>
          <w:rFonts w:ascii="Gill Sans MT" w:hAnsi="Gill Sans MT"/>
          <w:b/>
          <w:sz w:val="24"/>
        </w:rPr>
        <w:t>Please read all of the following pages to ensure you are eligible, provide us with the right information and are prepared to comply with the conditions</w:t>
      </w:r>
      <w:r>
        <w:rPr>
          <w:rFonts w:ascii="Gill Sans MT" w:hAnsi="Gill Sans MT"/>
          <w:sz w:val="20"/>
        </w:rPr>
        <w:t>.</w:t>
      </w:r>
    </w:p>
    <w:p w:rsidR="00B54D6F" w:rsidRDefault="00731909">
      <w:pPr>
        <w:pStyle w:val="Standard"/>
        <w:spacing w:after="0"/>
        <w:jc w:val="center"/>
      </w:pPr>
      <w:r>
        <w:rPr>
          <w:rFonts w:ascii="Gill Sans MT" w:hAnsi="Gill Sans MT"/>
        </w:rPr>
        <w:t xml:space="preserve">If you wish to discuss further the details of the fund or your application, please contact the Project Officer </w:t>
      </w:r>
      <w:r>
        <w:rPr>
          <w:rFonts w:ascii="Gill Sans MT" w:hAnsi="Gill Sans MT"/>
          <w:b/>
        </w:rPr>
        <w:t>well in advance of the closing date</w:t>
      </w:r>
      <w:r>
        <w:rPr>
          <w:rFonts w:ascii="Gill Sans MT" w:hAnsi="Gill Sans MT"/>
        </w:rPr>
        <w:t>.</w:t>
      </w:r>
    </w:p>
    <w:p w:rsidR="00B54D6F" w:rsidRDefault="00B54D6F">
      <w:pPr>
        <w:pStyle w:val="Standard"/>
        <w:spacing w:after="0"/>
        <w:rPr>
          <w:rFonts w:ascii="Gill Sans MT" w:hAnsi="Gill Sans MT" w:cs="Calibri"/>
          <w:b/>
          <w:sz w:val="16"/>
        </w:rPr>
      </w:pPr>
    </w:p>
    <w:p w:rsidR="00DD0801" w:rsidRDefault="00DD0801">
      <w:pPr>
        <w:sectPr w:rsidR="00DD0801">
          <w:pgSz w:w="11906" w:h="16838"/>
          <w:pgMar w:top="1440" w:right="1440" w:bottom="1440" w:left="1440" w:header="720" w:footer="720" w:gutter="0"/>
          <w:cols w:space="720"/>
        </w:sectPr>
      </w:pPr>
    </w:p>
    <w:p w:rsidR="00B54D6F" w:rsidRDefault="00731909">
      <w:pPr>
        <w:pStyle w:val="Standard"/>
        <w:spacing w:after="0"/>
      </w:pPr>
      <w:r>
        <w:rPr>
          <w:rFonts w:ascii="Gill Sans MT" w:hAnsi="Gill Sans MT" w:cs="Calibri"/>
          <w:b/>
          <w:sz w:val="28"/>
        </w:rPr>
        <w:lastRenderedPageBreak/>
        <w:t>Who can apply?</w:t>
      </w:r>
    </w:p>
    <w:p w:rsidR="00B54D6F" w:rsidRDefault="00731909">
      <w:pPr>
        <w:pStyle w:val="Standard"/>
        <w:spacing w:after="0"/>
      </w:pPr>
      <w:r>
        <w:rPr>
          <w:rFonts w:ascii="Gill Sans MT" w:hAnsi="Gill Sans MT" w:cs="Calibri"/>
          <w:b/>
          <w:sz w:val="24"/>
        </w:rPr>
        <w:t>This fund is for community groups in the Worcestershire undertaking commemoration of the First World War.</w:t>
      </w:r>
    </w:p>
    <w:p w:rsidR="00B54D6F" w:rsidRDefault="00B54D6F">
      <w:pPr>
        <w:pStyle w:val="Standard"/>
        <w:spacing w:after="0"/>
        <w:rPr>
          <w:rFonts w:ascii="Gill Sans MT" w:hAnsi="Gill Sans MT"/>
        </w:rPr>
      </w:pPr>
    </w:p>
    <w:p w:rsidR="00B54D6F" w:rsidRDefault="00731909">
      <w:pPr>
        <w:pStyle w:val="Standard"/>
        <w:spacing w:after="0"/>
      </w:pPr>
      <w:r>
        <w:rPr>
          <w:rFonts w:ascii="Gill Sans MT" w:hAnsi="Gill Sans MT" w:cs="Calibri"/>
        </w:rPr>
        <w:t xml:space="preserve">Applications can be from individual community groups </w:t>
      </w:r>
      <w:r>
        <w:rPr>
          <w:rFonts w:ascii="Gill Sans MT" w:hAnsi="Gill Sans MT" w:cs="Calibri"/>
          <w:b/>
        </w:rPr>
        <w:t>or</w:t>
      </w:r>
      <w:r>
        <w:rPr>
          <w:rFonts w:ascii="Gill Sans MT" w:hAnsi="Gill Sans MT" w:cs="Calibri"/>
        </w:rPr>
        <w:t xml:space="preserve"> for projects involving more than one group.</w:t>
      </w:r>
    </w:p>
    <w:p w:rsidR="00B54D6F" w:rsidRDefault="00B54D6F">
      <w:pPr>
        <w:pStyle w:val="Standard"/>
        <w:spacing w:after="0"/>
        <w:rPr>
          <w:rFonts w:ascii="Gill Sans MT" w:hAnsi="Gill Sans MT" w:cs="Calibri"/>
          <w:sz w:val="18"/>
        </w:rPr>
      </w:pPr>
    </w:p>
    <w:p w:rsidR="00B54D6F" w:rsidRDefault="00731909">
      <w:pPr>
        <w:pStyle w:val="Standard"/>
        <w:spacing w:after="0"/>
      </w:pPr>
      <w:r>
        <w:rPr>
          <w:rFonts w:ascii="Gill Sans MT" w:hAnsi="Gill Sans MT" w:cs="Calibri"/>
          <w:b/>
          <w:sz w:val="28"/>
        </w:rPr>
        <w:t>Size of award</w:t>
      </w:r>
    </w:p>
    <w:p w:rsidR="00B54D6F" w:rsidRDefault="00731909">
      <w:pPr>
        <w:pStyle w:val="Standard"/>
        <w:spacing w:after="0"/>
      </w:pPr>
      <w:r>
        <w:rPr>
          <w:rFonts w:ascii="Gill Sans MT" w:hAnsi="Gill Sans MT" w:cs="Calibri"/>
        </w:rPr>
        <w:t xml:space="preserve">Bids for grants up to </w:t>
      </w:r>
      <w:r>
        <w:rPr>
          <w:rFonts w:ascii="Gill Sans MT" w:hAnsi="Gill Sans MT" w:cs="Calibri"/>
          <w:b/>
        </w:rPr>
        <w:t xml:space="preserve">£500 </w:t>
      </w:r>
      <w:r>
        <w:rPr>
          <w:rFonts w:ascii="Gill Sans MT" w:hAnsi="Gill Sans MT" w:cs="Calibri"/>
        </w:rPr>
        <w:t>are welcomed.</w:t>
      </w:r>
    </w:p>
    <w:p w:rsidR="00B54D6F" w:rsidRDefault="00B54D6F">
      <w:pPr>
        <w:pStyle w:val="Standard"/>
        <w:spacing w:after="0"/>
        <w:rPr>
          <w:rFonts w:ascii="Gill Sans MT" w:hAnsi="Gill Sans MT"/>
        </w:rPr>
      </w:pPr>
    </w:p>
    <w:p w:rsidR="00B54D6F" w:rsidRDefault="00731909">
      <w:pPr>
        <w:pStyle w:val="Standard"/>
        <w:spacing w:after="0"/>
      </w:pPr>
      <w:r>
        <w:rPr>
          <w:rFonts w:ascii="Gill Sans MT" w:hAnsi="Gill Sans MT" w:cs="Calibri"/>
        </w:rPr>
        <w:t>There is no need for matched funding. Grants may cover 100% of the project costs.</w:t>
      </w:r>
    </w:p>
    <w:p w:rsidR="00B54D6F" w:rsidRDefault="00731909">
      <w:pPr>
        <w:pStyle w:val="Standard"/>
        <w:spacing w:after="0" w:line="240" w:lineRule="auto"/>
      </w:pPr>
      <w:r>
        <w:rPr>
          <w:rFonts w:ascii="Gill Sans MT" w:hAnsi="Gill Sans MT" w:cs="Calibri"/>
        </w:rPr>
        <w:t>It is also possible to use the grant to match other funds you may have. Please note there are restrictions on when the grant is to be spent by.</w:t>
      </w:r>
    </w:p>
    <w:p w:rsidR="00B54D6F" w:rsidRDefault="00B54D6F">
      <w:pPr>
        <w:pStyle w:val="Standard"/>
        <w:spacing w:after="0" w:line="240" w:lineRule="auto"/>
        <w:rPr>
          <w:rFonts w:ascii="Gill Sans MT" w:hAnsi="Gill Sans MT" w:cs="Calibri"/>
        </w:rPr>
      </w:pPr>
    </w:p>
    <w:p w:rsidR="00B54D6F" w:rsidRDefault="00B54D6F">
      <w:pPr>
        <w:pStyle w:val="Standard"/>
        <w:spacing w:after="0" w:line="240" w:lineRule="auto"/>
        <w:rPr>
          <w:rFonts w:ascii="Gill Sans MT" w:hAnsi="Gill Sans MT" w:cs="Calibri"/>
        </w:rPr>
      </w:pPr>
    </w:p>
    <w:p w:rsidR="00B54D6F" w:rsidRDefault="00B54D6F">
      <w:pPr>
        <w:pStyle w:val="Standard"/>
        <w:spacing w:after="0" w:line="240" w:lineRule="auto"/>
        <w:rPr>
          <w:rFonts w:ascii="Gill Sans MT" w:hAnsi="Gill Sans MT" w:cs="Calibri"/>
        </w:rPr>
      </w:pPr>
    </w:p>
    <w:p w:rsidR="00B54D6F" w:rsidRDefault="00B54D6F">
      <w:pPr>
        <w:pStyle w:val="Standard"/>
        <w:spacing w:after="0" w:line="240" w:lineRule="auto"/>
        <w:rPr>
          <w:rFonts w:ascii="Gill Sans MT" w:hAnsi="Gill Sans MT" w:cs="Calibri"/>
        </w:rPr>
      </w:pPr>
    </w:p>
    <w:p w:rsidR="00B54D6F" w:rsidRDefault="00B54D6F">
      <w:pPr>
        <w:pStyle w:val="Standard"/>
        <w:spacing w:after="0" w:line="240" w:lineRule="auto"/>
        <w:rPr>
          <w:rFonts w:ascii="Gill Sans MT" w:hAnsi="Gill Sans MT" w:cs="Calibri"/>
        </w:rPr>
      </w:pPr>
    </w:p>
    <w:p w:rsidR="00B54D6F" w:rsidRDefault="00B54D6F">
      <w:pPr>
        <w:pStyle w:val="Standard"/>
        <w:spacing w:after="0" w:line="240" w:lineRule="auto"/>
        <w:rPr>
          <w:rFonts w:ascii="Gill Sans MT" w:hAnsi="Gill Sans MT" w:cs="Calibri"/>
        </w:rPr>
      </w:pPr>
    </w:p>
    <w:p w:rsidR="00B54D6F" w:rsidRDefault="00731909">
      <w:pPr>
        <w:pStyle w:val="Standard"/>
        <w:spacing w:after="0"/>
      </w:pPr>
      <w:r>
        <w:rPr>
          <w:rFonts w:ascii="Gill Sans MT" w:hAnsi="Gill Sans MT" w:cs="Calibri"/>
          <w:b/>
        </w:rPr>
        <w:lastRenderedPageBreak/>
        <w:t>The following totals have been set aside for this fund over 5 years</w:t>
      </w:r>
    </w:p>
    <w:tbl>
      <w:tblPr>
        <w:tblW w:w="9242" w:type="dxa"/>
        <w:tblInd w:w="-108" w:type="dxa"/>
        <w:tblLayout w:type="fixed"/>
        <w:tblCellMar>
          <w:left w:w="10" w:type="dxa"/>
          <w:right w:w="10" w:type="dxa"/>
        </w:tblCellMar>
        <w:tblLook w:val="0000" w:firstRow="0" w:lastRow="0" w:firstColumn="0" w:lastColumn="0" w:noHBand="0" w:noVBand="0"/>
      </w:tblPr>
      <w:tblGrid>
        <w:gridCol w:w="1096"/>
        <w:gridCol w:w="1415"/>
        <w:gridCol w:w="1223"/>
        <w:gridCol w:w="5508"/>
      </w:tblGrid>
      <w:tr w:rsidR="00B54D6F">
        <w:tc>
          <w:tcPr>
            <w:tcW w:w="1096"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b/>
              </w:rPr>
              <w:t>Round</w:t>
            </w:r>
          </w:p>
        </w:tc>
        <w:tc>
          <w:tcPr>
            <w:tcW w:w="1415" w:type="dxa"/>
            <w:shd w:val="clear" w:color="auto" w:fill="auto"/>
            <w:tcMar>
              <w:top w:w="0" w:type="dxa"/>
              <w:left w:w="108" w:type="dxa"/>
              <w:bottom w:w="0" w:type="dxa"/>
              <w:right w:w="108" w:type="dxa"/>
            </w:tcMar>
          </w:tcPr>
          <w:p w:rsidR="00B54D6F" w:rsidRDefault="00B54D6F">
            <w:pPr>
              <w:pStyle w:val="Standard"/>
              <w:spacing w:after="0" w:line="240" w:lineRule="auto"/>
              <w:ind w:left="284"/>
              <w:rPr>
                <w:rFonts w:ascii="Gill Sans MT" w:hAnsi="Gill Sans MT" w:cs="Calibri"/>
                <w:b/>
              </w:rPr>
            </w:pPr>
          </w:p>
        </w:tc>
        <w:tc>
          <w:tcPr>
            <w:tcW w:w="1223" w:type="dxa"/>
            <w:shd w:val="clear" w:color="auto" w:fill="auto"/>
            <w:tcMar>
              <w:top w:w="0" w:type="dxa"/>
              <w:left w:w="108" w:type="dxa"/>
              <w:bottom w:w="0" w:type="dxa"/>
              <w:right w:w="108" w:type="dxa"/>
            </w:tcMar>
          </w:tcPr>
          <w:p w:rsidR="00B54D6F" w:rsidRDefault="00B54D6F">
            <w:pPr>
              <w:pStyle w:val="Standard"/>
              <w:spacing w:after="0" w:line="240" w:lineRule="auto"/>
              <w:ind w:left="284"/>
              <w:rPr>
                <w:rFonts w:ascii="Gill Sans MT" w:hAnsi="Gill Sans MT" w:cs="Calibri"/>
                <w:b/>
              </w:rPr>
            </w:pPr>
          </w:p>
        </w:tc>
        <w:tc>
          <w:tcPr>
            <w:tcW w:w="5508"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b/>
              </w:rPr>
              <w:t>Deadlines for applications</w:t>
            </w:r>
          </w:p>
        </w:tc>
      </w:tr>
      <w:tr w:rsidR="00B54D6F">
        <w:tc>
          <w:tcPr>
            <w:tcW w:w="1096" w:type="dxa"/>
            <w:shd w:val="clear" w:color="auto" w:fill="auto"/>
            <w:tcMar>
              <w:top w:w="0" w:type="dxa"/>
              <w:left w:w="108" w:type="dxa"/>
              <w:bottom w:w="0" w:type="dxa"/>
              <w:right w:w="108" w:type="dxa"/>
            </w:tcMar>
          </w:tcPr>
          <w:p w:rsidR="00B54D6F" w:rsidRDefault="00731909">
            <w:pPr>
              <w:pStyle w:val="Standard"/>
              <w:spacing w:after="0" w:line="240" w:lineRule="auto"/>
              <w:ind w:left="284"/>
              <w:jc w:val="right"/>
            </w:pPr>
            <w:r>
              <w:rPr>
                <w:rFonts w:ascii="Gill Sans MT" w:hAnsi="Gill Sans MT" w:cs="Calibri"/>
              </w:rPr>
              <w:t>1</w:t>
            </w:r>
          </w:p>
        </w:tc>
        <w:tc>
          <w:tcPr>
            <w:tcW w:w="1415" w:type="dxa"/>
            <w:shd w:val="clear" w:color="auto" w:fill="auto"/>
            <w:tcMar>
              <w:top w:w="0" w:type="dxa"/>
              <w:left w:w="108" w:type="dxa"/>
              <w:bottom w:w="0" w:type="dxa"/>
              <w:right w:w="108" w:type="dxa"/>
            </w:tcMar>
          </w:tcPr>
          <w:p w:rsidR="00B54D6F" w:rsidRDefault="00731909">
            <w:pPr>
              <w:pStyle w:val="Standard"/>
              <w:spacing w:after="0" w:line="240" w:lineRule="auto"/>
              <w:ind w:left="37"/>
            </w:pPr>
            <w:r>
              <w:rPr>
                <w:rFonts w:ascii="Gill Sans MT" w:hAnsi="Gill Sans MT" w:cs="Calibri"/>
              </w:rPr>
              <w:t>2014-15:</w:t>
            </w:r>
          </w:p>
        </w:tc>
        <w:tc>
          <w:tcPr>
            <w:tcW w:w="1223"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£1,000</w:t>
            </w:r>
          </w:p>
        </w:tc>
        <w:tc>
          <w:tcPr>
            <w:tcW w:w="5508"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30/06/14</w:t>
            </w:r>
          </w:p>
        </w:tc>
      </w:tr>
      <w:tr w:rsidR="00B54D6F">
        <w:tc>
          <w:tcPr>
            <w:tcW w:w="1096" w:type="dxa"/>
            <w:shd w:val="clear" w:color="auto" w:fill="B8CCE4"/>
            <w:tcMar>
              <w:top w:w="0" w:type="dxa"/>
              <w:left w:w="108" w:type="dxa"/>
              <w:bottom w:w="0" w:type="dxa"/>
              <w:right w:w="108" w:type="dxa"/>
            </w:tcMar>
          </w:tcPr>
          <w:p w:rsidR="00B54D6F" w:rsidRDefault="00731909">
            <w:pPr>
              <w:pStyle w:val="Standard"/>
              <w:spacing w:after="0" w:line="240" w:lineRule="auto"/>
              <w:ind w:left="284"/>
              <w:jc w:val="right"/>
            </w:pPr>
            <w:r>
              <w:rPr>
                <w:rFonts w:ascii="Gill Sans MT" w:hAnsi="Gill Sans MT" w:cs="Calibri"/>
              </w:rPr>
              <w:t>2</w:t>
            </w:r>
          </w:p>
        </w:tc>
        <w:tc>
          <w:tcPr>
            <w:tcW w:w="1415" w:type="dxa"/>
            <w:shd w:val="clear" w:color="auto" w:fill="B8CCE4"/>
            <w:tcMar>
              <w:top w:w="0" w:type="dxa"/>
              <w:left w:w="108" w:type="dxa"/>
              <w:bottom w:w="0" w:type="dxa"/>
              <w:right w:w="108" w:type="dxa"/>
            </w:tcMar>
          </w:tcPr>
          <w:p w:rsidR="00B54D6F" w:rsidRDefault="00731909">
            <w:pPr>
              <w:pStyle w:val="Standard"/>
              <w:spacing w:after="0" w:line="240" w:lineRule="auto"/>
              <w:ind w:left="37"/>
            </w:pPr>
            <w:r>
              <w:rPr>
                <w:rFonts w:ascii="Gill Sans MT" w:hAnsi="Gill Sans MT" w:cs="Calibri"/>
              </w:rPr>
              <w:t>2015-16:</w:t>
            </w:r>
          </w:p>
        </w:tc>
        <w:tc>
          <w:tcPr>
            <w:tcW w:w="1223" w:type="dxa"/>
            <w:shd w:val="clear" w:color="auto" w:fill="B8CCE4"/>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£1,000</w:t>
            </w:r>
          </w:p>
        </w:tc>
        <w:tc>
          <w:tcPr>
            <w:tcW w:w="5508" w:type="dxa"/>
            <w:shd w:val="clear" w:color="auto" w:fill="B8CCE4"/>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30/06/15</w:t>
            </w:r>
          </w:p>
        </w:tc>
      </w:tr>
      <w:tr w:rsidR="00B54D6F">
        <w:tc>
          <w:tcPr>
            <w:tcW w:w="1096" w:type="dxa"/>
            <w:shd w:val="clear" w:color="auto" w:fill="auto"/>
            <w:tcMar>
              <w:top w:w="0" w:type="dxa"/>
              <w:left w:w="108" w:type="dxa"/>
              <w:bottom w:w="0" w:type="dxa"/>
              <w:right w:w="108" w:type="dxa"/>
            </w:tcMar>
          </w:tcPr>
          <w:p w:rsidR="00B54D6F" w:rsidRDefault="00731909">
            <w:pPr>
              <w:pStyle w:val="Standard"/>
              <w:spacing w:after="0" w:line="240" w:lineRule="auto"/>
              <w:ind w:left="284"/>
              <w:jc w:val="right"/>
            </w:pPr>
            <w:r>
              <w:rPr>
                <w:rFonts w:ascii="Gill Sans MT" w:hAnsi="Gill Sans MT" w:cs="Calibri"/>
              </w:rPr>
              <w:t>3</w:t>
            </w:r>
          </w:p>
        </w:tc>
        <w:tc>
          <w:tcPr>
            <w:tcW w:w="1415" w:type="dxa"/>
            <w:shd w:val="clear" w:color="auto" w:fill="auto"/>
            <w:tcMar>
              <w:top w:w="0" w:type="dxa"/>
              <w:left w:w="108" w:type="dxa"/>
              <w:bottom w:w="0" w:type="dxa"/>
              <w:right w:w="108" w:type="dxa"/>
            </w:tcMar>
          </w:tcPr>
          <w:p w:rsidR="00B54D6F" w:rsidRDefault="00731909">
            <w:pPr>
              <w:pStyle w:val="Standard"/>
              <w:spacing w:after="0" w:line="240" w:lineRule="auto"/>
              <w:ind w:left="37"/>
            </w:pPr>
            <w:r>
              <w:rPr>
                <w:rFonts w:ascii="Gill Sans MT" w:hAnsi="Gill Sans MT" w:cs="Calibri"/>
              </w:rPr>
              <w:t>2016-17:</w:t>
            </w:r>
          </w:p>
        </w:tc>
        <w:tc>
          <w:tcPr>
            <w:tcW w:w="1223"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£1,000</w:t>
            </w:r>
          </w:p>
        </w:tc>
        <w:tc>
          <w:tcPr>
            <w:tcW w:w="5508"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30/06/16</w:t>
            </w:r>
          </w:p>
        </w:tc>
      </w:tr>
      <w:tr w:rsidR="00B54D6F">
        <w:tc>
          <w:tcPr>
            <w:tcW w:w="1096" w:type="dxa"/>
            <w:shd w:val="clear" w:color="auto" w:fill="auto"/>
            <w:tcMar>
              <w:top w:w="0" w:type="dxa"/>
              <w:left w:w="108" w:type="dxa"/>
              <w:bottom w:w="0" w:type="dxa"/>
              <w:right w:w="108" w:type="dxa"/>
            </w:tcMar>
          </w:tcPr>
          <w:p w:rsidR="00B54D6F" w:rsidRDefault="00731909">
            <w:pPr>
              <w:pStyle w:val="Standard"/>
              <w:spacing w:after="0" w:line="240" w:lineRule="auto"/>
              <w:ind w:left="284"/>
              <w:jc w:val="right"/>
              <w:rPr>
                <w:rFonts w:ascii="Gill Sans MT" w:hAnsi="Gill Sans MT"/>
              </w:rPr>
            </w:pPr>
            <w:r>
              <w:rPr>
                <w:rFonts w:ascii="Gill Sans MT" w:hAnsi="Gill Sans MT"/>
              </w:rPr>
              <w:t>4</w:t>
            </w:r>
          </w:p>
        </w:tc>
        <w:tc>
          <w:tcPr>
            <w:tcW w:w="1415" w:type="dxa"/>
            <w:shd w:val="clear" w:color="auto" w:fill="auto"/>
            <w:tcMar>
              <w:top w:w="0" w:type="dxa"/>
              <w:left w:w="108" w:type="dxa"/>
              <w:bottom w:w="0" w:type="dxa"/>
              <w:right w:w="108" w:type="dxa"/>
            </w:tcMar>
          </w:tcPr>
          <w:p w:rsidR="00B54D6F" w:rsidRDefault="00731909">
            <w:pPr>
              <w:pStyle w:val="Standard"/>
              <w:spacing w:after="0" w:line="240" w:lineRule="auto"/>
              <w:ind w:left="37"/>
              <w:rPr>
                <w:rFonts w:ascii="Gill Sans MT" w:hAnsi="Gill Sans MT"/>
              </w:rPr>
            </w:pPr>
            <w:r>
              <w:rPr>
                <w:rFonts w:ascii="Gill Sans MT" w:hAnsi="Gill Sans MT"/>
              </w:rPr>
              <w:t>2017-18</w:t>
            </w:r>
          </w:p>
        </w:tc>
        <w:tc>
          <w:tcPr>
            <w:tcW w:w="1223"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£1,000</w:t>
            </w:r>
          </w:p>
        </w:tc>
        <w:tc>
          <w:tcPr>
            <w:tcW w:w="5508" w:type="dxa"/>
            <w:shd w:val="clear" w:color="auto" w:fill="auto"/>
            <w:tcMar>
              <w:top w:w="0" w:type="dxa"/>
              <w:left w:w="108" w:type="dxa"/>
              <w:bottom w:w="0" w:type="dxa"/>
              <w:right w:w="108" w:type="dxa"/>
            </w:tcMar>
          </w:tcPr>
          <w:p w:rsidR="00B54D6F" w:rsidRDefault="00731909">
            <w:pPr>
              <w:pStyle w:val="Standard"/>
              <w:spacing w:after="0" w:line="240" w:lineRule="auto"/>
              <w:ind w:left="284"/>
              <w:rPr>
                <w:rFonts w:ascii="Gill Sans MT" w:hAnsi="Gill Sans MT"/>
              </w:rPr>
            </w:pPr>
            <w:r>
              <w:rPr>
                <w:rFonts w:ascii="Gill Sans MT" w:hAnsi="Gill Sans MT"/>
              </w:rPr>
              <w:t>30/06/17</w:t>
            </w:r>
          </w:p>
        </w:tc>
      </w:tr>
      <w:tr w:rsidR="00B54D6F">
        <w:tc>
          <w:tcPr>
            <w:tcW w:w="1096" w:type="dxa"/>
            <w:shd w:val="clear" w:color="auto" w:fill="auto"/>
            <w:tcMar>
              <w:top w:w="0" w:type="dxa"/>
              <w:left w:w="108" w:type="dxa"/>
              <w:bottom w:w="0" w:type="dxa"/>
              <w:right w:w="108" w:type="dxa"/>
            </w:tcMar>
          </w:tcPr>
          <w:p w:rsidR="00B54D6F" w:rsidRDefault="00731909">
            <w:pPr>
              <w:pStyle w:val="Standard"/>
              <w:spacing w:after="0" w:line="240" w:lineRule="auto"/>
              <w:ind w:left="284"/>
              <w:jc w:val="right"/>
              <w:rPr>
                <w:rFonts w:ascii="Gill Sans MT" w:hAnsi="Gill Sans MT"/>
              </w:rPr>
            </w:pPr>
            <w:r>
              <w:rPr>
                <w:rFonts w:ascii="Gill Sans MT" w:hAnsi="Gill Sans MT"/>
              </w:rPr>
              <w:t>5</w:t>
            </w:r>
          </w:p>
        </w:tc>
        <w:tc>
          <w:tcPr>
            <w:tcW w:w="1415" w:type="dxa"/>
            <w:shd w:val="clear" w:color="auto" w:fill="auto"/>
            <w:tcMar>
              <w:top w:w="0" w:type="dxa"/>
              <w:left w:w="108" w:type="dxa"/>
              <w:bottom w:w="0" w:type="dxa"/>
              <w:right w:w="108" w:type="dxa"/>
            </w:tcMar>
          </w:tcPr>
          <w:p w:rsidR="00B54D6F" w:rsidRDefault="00731909">
            <w:pPr>
              <w:pStyle w:val="Standard"/>
              <w:spacing w:after="0" w:line="240" w:lineRule="auto"/>
              <w:ind w:left="37"/>
              <w:rPr>
                <w:rFonts w:ascii="Gill Sans MT" w:hAnsi="Gill Sans MT"/>
              </w:rPr>
            </w:pPr>
            <w:r>
              <w:rPr>
                <w:rFonts w:ascii="Gill Sans MT" w:hAnsi="Gill Sans MT"/>
              </w:rPr>
              <w:t>2018-19</w:t>
            </w:r>
          </w:p>
        </w:tc>
        <w:tc>
          <w:tcPr>
            <w:tcW w:w="1223" w:type="dxa"/>
            <w:shd w:val="clear" w:color="auto" w:fill="auto"/>
            <w:tcMar>
              <w:top w:w="0" w:type="dxa"/>
              <w:left w:w="108" w:type="dxa"/>
              <w:bottom w:w="0" w:type="dxa"/>
              <w:right w:w="108" w:type="dxa"/>
            </w:tcMar>
          </w:tcPr>
          <w:p w:rsidR="00B54D6F" w:rsidRDefault="00731909">
            <w:pPr>
              <w:pStyle w:val="Standard"/>
              <w:spacing w:after="0" w:line="240" w:lineRule="auto"/>
              <w:ind w:left="284"/>
            </w:pPr>
            <w:r>
              <w:rPr>
                <w:rFonts w:ascii="Gill Sans MT" w:hAnsi="Gill Sans MT" w:cs="Calibri"/>
              </w:rPr>
              <w:t>£1,000</w:t>
            </w:r>
          </w:p>
        </w:tc>
        <w:tc>
          <w:tcPr>
            <w:tcW w:w="5508" w:type="dxa"/>
            <w:shd w:val="clear" w:color="auto" w:fill="auto"/>
            <w:tcMar>
              <w:top w:w="0" w:type="dxa"/>
              <w:left w:w="108" w:type="dxa"/>
              <w:bottom w:w="0" w:type="dxa"/>
              <w:right w:w="108" w:type="dxa"/>
            </w:tcMar>
          </w:tcPr>
          <w:p w:rsidR="00B54D6F" w:rsidRDefault="00731909">
            <w:pPr>
              <w:pStyle w:val="Standard"/>
              <w:spacing w:after="0" w:line="240" w:lineRule="auto"/>
              <w:ind w:left="284"/>
              <w:rPr>
                <w:rFonts w:ascii="Gill Sans MT" w:hAnsi="Gill Sans MT"/>
              </w:rPr>
            </w:pPr>
            <w:r>
              <w:rPr>
                <w:rFonts w:ascii="Gill Sans MT" w:hAnsi="Gill Sans MT"/>
              </w:rPr>
              <w:t>30/06/18</w:t>
            </w:r>
          </w:p>
        </w:tc>
      </w:tr>
    </w:tbl>
    <w:p w:rsidR="00B54D6F" w:rsidRDefault="00B54D6F">
      <w:pPr>
        <w:pStyle w:val="Standard"/>
        <w:spacing w:after="0"/>
        <w:rPr>
          <w:rFonts w:ascii="Gill Sans MT" w:hAnsi="Gill Sans MT" w:cs="Calibri"/>
          <w:b/>
        </w:rPr>
      </w:pPr>
    </w:p>
    <w:p w:rsidR="00B54D6F" w:rsidRDefault="00731909">
      <w:pPr>
        <w:pStyle w:val="Standard"/>
        <w:spacing w:after="0"/>
      </w:pPr>
      <w:r>
        <w:rPr>
          <w:rFonts w:ascii="Gill Sans MT" w:hAnsi="Gill Sans MT" w:cs="Calibri"/>
          <w:b/>
          <w:sz w:val="28"/>
        </w:rPr>
        <w:t>What you can apply for</w:t>
      </w:r>
    </w:p>
    <w:p w:rsidR="00B54D6F" w:rsidRDefault="00731909">
      <w:pPr>
        <w:pStyle w:val="ListParagraph"/>
        <w:numPr>
          <w:ilvl w:val="0"/>
          <w:numId w:val="8"/>
        </w:numPr>
        <w:spacing w:after="0"/>
        <w:ind w:left="360"/>
      </w:pPr>
      <w:r>
        <w:rPr>
          <w:rFonts w:ascii="Gill Sans MT" w:hAnsi="Gill Sans MT" w:cs="Calibri"/>
        </w:rPr>
        <w:t>Project applications should be clear about how the work contributes to the overall project aims, and should address at least two of the following criteria:</w:t>
      </w:r>
    </w:p>
    <w:p w:rsidR="00B54D6F" w:rsidRDefault="00731909">
      <w:pPr>
        <w:pStyle w:val="Standard"/>
        <w:spacing w:after="0"/>
        <w:ind w:left="1440" w:hanging="1080"/>
      </w:pPr>
      <w:r>
        <w:rPr>
          <w:rFonts w:ascii="Gill Sans MT" w:hAnsi="Gill Sans MT" w:cs="Calibri"/>
          <w:b/>
        </w:rPr>
        <w:t>Goal 1</w:t>
      </w:r>
      <w:r>
        <w:rPr>
          <w:rFonts w:ascii="Gill Sans MT" w:hAnsi="Gill Sans MT" w:cs="Calibri"/>
        </w:rPr>
        <w:t xml:space="preserve">: </w:t>
      </w:r>
      <w:r>
        <w:rPr>
          <w:rFonts w:ascii="Gill Sans MT" w:hAnsi="Gill Sans MT" w:cs="Calibri"/>
        </w:rPr>
        <w:tab/>
        <w:t>Opportunities for current generations to understand the impact of the Great War.</w:t>
      </w:r>
    </w:p>
    <w:p w:rsidR="00B54D6F" w:rsidRDefault="00731909">
      <w:pPr>
        <w:pStyle w:val="Standard"/>
        <w:spacing w:after="0"/>
        <w:ind w:firstLine="360"/>
      </w:pPr>
      <w:r>
        <w:rPr>
          <w:rFonts w:ascii="Gill Sans MT" w:hAnsi="Gill Sans MT" w:cs="Calibri"/>
          <w:b/>
        </w:rPr>
        <w:t>Goal 2:</w:t>
      </w:r>
      <w:r>
        <w:rPr>
          <w:rFonts w:ascii="Gill Sans MT" w:hAnsi="Gill Sans MT" w:cs="Calibri"/>
        </w:rPr>
        <w:t xml:space="preserve"> </w:t>
      </w:r>
      <w:r>
        <w:rPr>
          <w:rFonts w:ascii="Gill Sans MT" w:hAnsi="Gill Sans MT" w:cs="Calibri"/>
        </w:rPr>
        <w:tab/>
        <w:t>Engage the community.</w:t>
      </w:r>
    </w:p>
    <w:p w:rsidR="00B54D6F" w:rsidRDefault="00731909">
      <w:pPr>
        <w:pStyle w:val="Standard"/>
        <w:spacing w:after="0"/>
        <w:ind w:firstLine="360"/>
      </w:pPr>
      <w:r>
        <w:rPr>
          <w:rFonts w:ascii="Gill Sans MT" w:hAnsi="Gill Sans MT" w:cs="Calibri"/>
          <w:b/>
        </w:rPr>
        <w:t>Goal 3:</w:t>
      </w:r>
      <w:r>
        <w:rPr>
          <w:rFonts w:ascii="Gill Sans MT" w:hAnsi="Gill Sans MT" w:cs="Calibri"/>
        </w:rPr>
        <w:t xml:space="preserve"> </w:t>
      </w:r>
      <w:r>
        <w:rPr>
          <w:rFonts w:ascii="Gill Sans MT" w:hAnsi="Gill Sans MT" w:cs="Calibri"/>
        </w:rPr>
        <w:tab/>
        <w:t>Link the resources of museums, archives and cultural organisations with local areas.</w:t>
      </w:r>
    </w:p>
    <w:p w:rsidR="00B54D6F" w:rsidRDefault="00731909">
      <w:pPr>
        <w:pStyle w:val="Standard"/>
        <w:spacing w:after="0"/>
        <w:ind w:firstLine="360"/>
      </w:pPr>
      <w:r>
        <w:rPr>
          <w:rFonts w:ascii="Gill Sans MT" w:hAnsi="Gill Sans MT" w:cs="Calibri"/>
          <w:b/>
        </w:rPr>
        <w:t xml:space="preserve">Goal 4: </w:t>
      </w:r>
      <w:r>
        <w:rPr>
          <w:rFonts w:ascii="Gill Sans MT" w:hAnsi="Gill Sans MT" w:cs="Calibri"/>
          <w:b/>
        </w:rPr>
        <w:tab/>
      </w:r>
      <w:r>
        <w:rPr>
          <w:rFonts w:ascii="Gill Sans MT" w:hAnsi="Gill Sans MT" w:cs="Calibri"/>
        </w:rPr>
        <w:t>Volunteers undertaking sustained activity.</w:t>
      </w:r>
    </w:p>
    <w:p w:rsidR="00B54D6F" w:rsidRDefault="00731909">
      <w:pPr>
        <w:pStyle w:val="Standard"/>
        <w:spacing w:after="0"/>
        <w:ind w:firstLine="360"/>
      </w:pPr>
      <w:r>
        <w:rPr>
          <w:rFonts w:ascii="Gill Sans MT" w:hAnsi="Gill Sans MT" w:cs="Calibri"/>
          <w:b/>
        </w:rPr>
        <w:t>Goal 5:</w:t>
      </w:r>
      <w:r>
        <w:rPr>
          <w:rFonts w:ascii="Gill Sans MT" w:hAnsi="Gill Sans MT" w:cs="Calibri"/>
        </w:rPr>
        <w:t xml:space="preserve"> </w:t>
      </w:r>
      <w:r>
        <w:rPr>
          <w:rFonts w:ascii="Gill Sans MT" w:hAnsi="Gill Sans MT" w:cs="Calibri"/>
        </w:rPr>
        <w:tab/>
        <w:t>Developing heritage and educational skills.</w:t>
      </w:r>
    </w:p>
    <w:p w:rsidR="00B54D6F" w:rsidRDefault="00B54D6F">
      <w:pPr>
        <w:pStyle w:val="Standard"/>
        <w:spacing w:after="0"/>
        <w:ind w:left="360"/>
        <w:rPr>
          <w:rFonts w:ascii="Gill Sans MT" w:hAnsi="Gill Sans MT" w:cs="Calibri"/>
        </w:rPr>
      </w:pPr>
    </w:p>
    <w:p w:rsidR="00B54D6F" w:rsidRDefault="00731909">
      <w:pPr>
        <w:pStyle w:val="ListParagraph"/>
        <w:numPr>
          <w:ilvl w:val="0"/>
          <w:numId w:val="6"/>
        </w:numPr>
        <w:spacing w:after="0"/>
        <w:ind w:left="360"/>
      </w:pPr>
      <w:r>
        <w:rPr>
          <w:rFonts w:ascii="Gill Sans MT" w:hAnsi="Gill Sans MT" w:cs="Calibri"/>
        </w:rPr>
        <w:t>The fund will support activities carried out over a set period. In general this is assumed to be six months from the date of the grant award. We will need a brief report at the end of the period and this will appear on the project website.</w:t>
      </w:r>
    </w:p>
    <w:p w:rsidR="00B54D6F" w:rsidRDefault="00B54D6F">
      <w:pPr>
        <w:pStyle w:val="Standard"/>
        <w:spacing w:after="0"/>
        <w:ind w:left="360"/>
        <w:rPr>
          <w:rFonts w:ascii="Gill Sans MT" w:hAnsi="Gill Sans MT"/>
        </w:rPr>
      </w:pPr>
    </w:p>
    <w:p w:rsidR="00B54D6F" w:rsidRDefault="00731909">
      <w:pPr>
        <w:pStyle w:val="Standard"/>
        <w:spacing w:after="0"/>
      </w:pPr>
      <w:r>
        <w:rPr>
          <w:rFonts w:ascii="Gill Sans MT" w:hAnsi="Gill Sans MT" w:cs="Calibri"/>
        </w:rPr>
        <w:t xml:space="preserve">       Please see below for how we will assess your application</w:t>
      </w:r>
      <w:r>
        <w:rPr>
          <w:rFonts w:ascii="Gill Sans MT" w:hAnsi="Gill Sans MT" w:cs="Calibri"/>
          <w:i/>
          <w:sz w:val="20"/>
        </w:rPr>
        <w:t>.</w:t>
      </w:r>
    </w:p>
    <w:p w:rsidR="00B54D6F" w:rsidRDefault="00B54D6F">
      <w:pPr>
        <w:pStyle w:val="AC-Bullets"/>
        <w:tabs>
          <w:tab w:val="clear" w:pos="1437"/>
        </w:tabs>
        <w:spacing w:after="0" w:line="240" w:lineRule="auto"/>
        <w:ind w:left="0" w:firstLine="0"/>
        <w:rPr>
          <w:rFonts w:ascii="Gill Sans MT" w:hAnsi="Gill Sans MT" w:cs="Calibri"/>
          <w:i/>
          <w:sz w:val="20"/>
        </w:rPr>
      </w:pPr>
    </w:p>
    <w:p w:rsidR="00B54D6F" w:rsidRDefault="00731909">
      <w:pPr>
        <w:pStyle w:val="Standard"/>
        <w:spacing w:after="0"/>
      </w:pPr>
      <w:r>
        <w:rPr>
          <w:rFonts w:ascii="Gill Sans MT" w:hAnsi="Gill Sans MT" w:cs="Calibri"/>
          <w:b/>
          <w:sz w:val="28"/>
        </w:rPr>
        <w:t xml:space="preserve">What you </w:t>
      </w:r>
      <w:r>
        <w:rPr>
          <w:rFonts w:ascii="Gill Sans MT" w:hAnsi="Gill Sans MT" w:cs="Calibri"/>
          <w:b/>
          <w:i/>
          <w:sz w:val="28"/>
        </w:rPr>
        <w:t>cannot</w:t>
      </w:r>
      <w:r>
        <w:rPr>
          <w:rFonts w:ascii="Gill Sans MT" w:hAnsi="Gill Sans MT" w:cs="Calibri"/>
          <w:b/>
          <w:sz w:val="28"/>
        </w:rPr>
        <w:t xml:space="preserve"> apply for</w:t>
      </w:r>
    </w:p>
    <w:p w:rsidR="00B54D6F" w:rsidRDefault="00B54D6F">
      <w:pPr>
        <w:pStyle w:val="Standard"/>
        <w:spacing w:after="0"/>
        <w:rPr>
          <w:rFonts w:ascii="Gill Sans MT" w:hAnsi="Gill Sans MT" w:cs="Calibri"/>
          <w:b/>
          <w:sz w:val="18"/>
        </w:rPr>
      </w:pPr>
    </w:p>
    <w:p w:rsidR="00B54D6F" w:rsidRDefault="00731909">
      <w:pPr>
        <w:pStyle w:val="Standard"/>
        <w:numPr>
          <w:ilvl w:val="0"/>
          <w:numId w:val="9"/>
        </w:numPr>
        <w:spacing w:after="0"/>
      </w:pPr>
      <w:r>
        <w:rPr>
          <w:rFonts w:ascii="Gill Sans MT" w:hAnsi="Gill Sans MT" w:cs="Calibri"/>
        </w:rPr>
        <w:t xml:space="preserve">Activities, including buying goods or services, which take place, or start, </w:t>
      </w:r>
      <w:r>
        <w:rPr>
          <w:rFonts w:ascii="Gill Sans MT" w:hAnsi="Gill Sans MT" w:cs="Calibri"/>
          <w:b/>
        </w:rPr>
        <w:t>before</w:t>
      </w:r>
      <w:r>
        <w:rPr>
          <w:rFonts w:ascii="Gill Sans MT" w:hAnsi="Gill Sans MT" w:cs="Calibri"/>
        </w:rPr>
        <w:t xml:space="preserve"> we have awarded you the grant.</w:t>
      </w:r>
    </w:p>
    <w:p w:rsidR="00B54D6F" w:rsidRDefault="00731909">
      <w:pPr>
        <w:pStyle w:val="ListParagraph"/>
        <w:numPr>
          <w:ilvl w:val="0"/>
          <w:numId w:val="9"/>
        </w:numPr>
      </w:pPr>
      <w:r>
        <w:rPr>
          <w:rFonts w:ascii="Gill Sans MT" w:hAnsi="Gill Sans MT" w:cs="Calibri"/>
        </w:rPr>
        <w:t>Bursaries or grants to individuals for travel or subsistence to conferences or training unless these are directly linked to the furtherance of the rest of the project.</w:t>
      </w:r>
    </w:p>
    <w:p w:rsidR="00B54D6F" w:rsidRDefault="00731909">
      <w:pPr>
        <w:pStyle w:val="Standard"/>
        <w:spacing w:after="0"/>
      </w:pPr>
      <w:r>
        <w:rPr>
          <w:rFonts w:ascii="Gill Sans MT" w:hAnsi="Gill Sans MT" w:cs="Calibri"/>
          <w:b/>
          <w:sz w:val="28"/>
        </w:rPr>
        <w:t>Ineligible costs</w:t>
      </w:r>
    </w:p>
    <w:p w:rsidR="00B54D6F" w:rsidRDefault="00731909">
      <w:pPr>
        <w:pStyle w:val="ListParagraph"/>
        <w:numPr>
          <w:ilvl w:val="0"/>
          <w:numId w:val="10"/>
        </w:numPr>
        <w:spacing w:after="0"/>
      </w:pPr>
      <w:r>
        <w:rPr>
          <w:rFonts w:ascii="Gill Sans MT" w:hAnsi="Gill Sans MT" w:cs="Calibri"/>
        </w:rPr>
        <w:t>Costs that are already covered by other funding.</w:t>
      </w:r>
    </w:p>
    <w:p w:rsidR="00B54D6F" w:rsidRDefault="00731909">
      <w:pPr>
        <w:pStyle w:val="ListParagraph"/>
        <w:numPr>
          <w:ilvl w:val="0"/>
          <w:numId w:val="1"/>
        </w:numPr>
        <w:spacing w:after="0"/>
      </w:pPr>
      <w:r>
        <w:rPr>
          <w:rFonts w:ascii="Gill Sans MT" w:hAnsi="Gill Sans MT" w:cs="Calibri"/>
        </w:rPr>
        <w:t>On-going overheads relating to equipment or buildings, such as insurance, rent or maintenance costs.</w:t>
      </w:r>
    </w:p>
    <w:p w:rsidR="00B54D6F" w:rsidRDefault="00731909">
      <w:pPr>
        <w:pStyle w:val="ListParagraph"/>
        <w:numPr>
          <w:ilvl w:val="0"/>
          <w:numId w:val="1"/>
        </w:numPr>
        <w:spacing w:after="0"/>
      </w:pPr>
      <w:r>
        <w:rPr>
          <w:rFonts w:ascii="Gill Sans MT" w:hAnsi="Gill Sans MT" w:cs="Calibri"/>
        </w:rPr>
        <w:t>The grant will not cover any costs of your own labour (whether employed or voluntary).</w:t>
      </w:r>
    </w:p>
    <w:p w:rsidR="00B54D6F" w:rsidRDefault="00731909">
      <w:pPr>
        <w:pStyle w:val="ListParagraph"/>
        <w:numPr>
          <w:ilvl w:val="0"/>
          <w:numId w:val="1"/>
        </w:numPr>
        <w:spacing w:after="0"/>
      </w:pPr>
      <w:r>
        <w:rPr>
          <w:rFonts w:ascii="Gill Sans MT" w:hAnsi="Gill Sans MT" w:cs="Calibri"/>
        </w:rPr>
        <w:t>If you are VAT registered, the VAT figure should be deducted from the application budget, or invoices before claiming.</w:t>
      </w:r>
    </w:p>
    <w:p w:rsidR="00B54D6F" w:rsidRDefault="00B54D6F">
      <w:pPr>
        <w:pStyle w:val="Standard"/>
        <w:rPr>
          <w:rFonts w:ascii="Gill Sans MT" w:hAnsi="Gill Sans MT" w:cs="Calibri"/>
          <w:sz w:val="8"/>
        </w:rPr>
      </w:pPr>
    </w:p>
    <w:p w:rsidR="00B54D6F" w:rsidRDefault="00731909">
      <w:pPr>
        <w:pStyle w:val="Standard"/>
      </w:pPr>
      <w:r>
        <w:rPr>
          <w:rFonts w:ascii="Gill Sans MT" w:hAnsi="Gill Sans MT" w:cs="Calibri"/>
          <w:b/>
          <w:sz w:val="28"/>
        </w:rPr>
        <w:t>How and when to apply</w:t>
      </w:r>
    </w:p>
    <w:p w:rsidR="00B54D6F" w:rsidRDefault="00731909">
      <w:pPr>
        <w:pStyle w:val="ListParagraph"/>
        <w:numPr>
          <w:ilvl w:val="0"/>
          <w:numId w:val="1"/>
        </w:numPr>
        <w:spacing w:after="0"/>
      </w:pPr>
      <w:r>
        <w:rPr>
          <w:rFonts w:ascii="Gill Sans MT" w:eastAsia="ヒラギノ角ゴ Pro W3" w:hAnsi="Gill Sans MT" w:cs="Calibri"/>
          <w:b/>
          <w:color w:val="000000"/>
          <w:sz w:val="24"/>
          <w:szCs w:val="24"/>
          <w:lang w:eastAsia="en-GB"/>
        </w:rPr>
        <w:t>Deadlines for application submission are noted above.</w:t>
      </w:r>
    </w:p>
    <w:p w:rsidR="00B54D6F" w:rsidRDefault="00731909">
      <w:pPr>
        <w:pStyle w:val="ListParagraph"/>
        <w:numPr>
          <w:ilvl w:val="0"/>
          <w:numId w:val="1"/>
        </w:numPr>
        <w:spacing w:after="0"/>
      </w:pPr>
      <w:r>
        <w:rPr>
          <w:rFonts w:ascii="Gill Sans MT" w:hAnsi="Gill Sans MT" w:cs="Calibri"/>
        </w:rPr>
        <w:t xml:space="preserve">Before you fill in the attached form it is </w:t>
      </w:r>
      <w:r>
        <w:rPr>
          <w:rFonts w:ascii="Gill Sans MT" w:hAnsi="Gill Sans MT" w:cs="Calibri"/>
          <w:b/>
        </w:rPr>
        <w:t>wise to contact the Project Officer to discuss your application</w:t>
      </w:r>
    </w:p>
    <w:p w:rsidR="00B54D6F" w:rsidRDefault="00731909">
      <w:pPr>
        <w:pStyle w:val="ListParagraph"/>
        <w:numPr>
          <w:ilvl w:val="3"/>
          <w:numId w:val="1"/>
        </w:numPr>
        <w:spacing w:after="0"/>
      </w:pPr>
      <w:r>
        <w:rPr>
          <w:rFonts w:ascii="Gill Sans MT" w:hAnsi="Gill Sans MT" w:cs="Calibri"/>
        </w:rPr>
        <w:t>Complete the attached application form and attach any necessary further documentation to strengthen your bid.</w:t>
      </w:r>
    </w:p>
    <w:p w:rsidR="00B54D6F" w:rsidRDefault="00731909" w:rsidP="00594112">
      <w:pPr>
        <w:pStyle w:val="ListParagraph"/>
        <w:numPr>
          <w:ilvl w:val="0"/>
          <w:numId w:val="1"/>
        </w:numPr>
        <w:spacing w:after="0"/>
      </w:pPr>
      <w:r>
        <w:rPr>
          <w:rFonts w:ascii="Gill Sans MT" w:hAnsi="Gill Sans MT" w:cs="Calibri"/>
        </w:rPr>
        <w:lastRenderedPageBreak/>
        <w:t>Ensure your budget is clear.</w:t>
      </w:r>
    </w:p>
    <w:p w:rsidR="00B54D6F" w:rsidRDefault="00B54D6F">
      <w:pPr>
        <w:pStyle w:val="Standard"/>
        <w:spacing w:after="0" w:line="240" w:lineRule="auto"/>
        <w:jc w:val="center"/>
        <w:rPr>
          <w:rFonts w:ascii="Gill Sans MT" w:hAnsi="Gill Sans MT" w:cs="Calibri"/>
        </w:rPr>
      </w:pPr>
    </w:p>
    <w:p w:rsidR="00B54D6F" w:rsidRDefault="00B54D6F">
      <w:pPr>
        <w:pStyle w:val="Standard"/>
        <w:spacing w:after="0"/>
        <w:rPr>
          <w:rFonts w:ascii="Gill Sans MT" w:hAnsi="Gill Sans MT" w:cs="Calibri"/>
          <w:b/>
          <w:sz w:val="18"/>
        </w:rPr>
      </w:pPr>
    </w:p>
    <w:p w:rsidR="00B54D6F" w:rsidRDefault="00731909">
      <w:pPr>
        <w:pStyle w:val="Standard"/>
        <w:spacing w:after="0"/>
      </w:pPr>
      <w:r>
        <w:rPr>
          <w:rFonts w:ascii="Gill Sans MT" w:hAnsi="Gill Sans MT" w:cs="Calibri"/>
          <w:b/>
          <w:sz w:val="28"/>
        </w:rPr>
        <w:t>Assessment criteria and process</w:t>
      </w:r>
    </w:p>
    <w:p w:rsidR="00B54D6F" w:rsidRDefault="00731909">
      <w:pPr>
        <w:pStyle w:val="ListParagraph"/>
        <w:numPr>
          <w:ilvl w:val="0"/>
          <w:numId w:val="11"/>
        </w:numPr>
        <w:spacing w:after="0"/>
      </w:pPr>
      <w:r>
        <w:rPr>
          <w:rFonts w:ascii="Gill Sans MT" w:hAnsi="Gill Sans MT" w:cs="Calibri"/>
        </w:rPr>
        <w:t xml:space="preserve">This is a competitive fund.  </w:t>
      </w:r>
    </w:p>
    <w:p w:rsidR="00B54D6F" w:rsidRDefault="00731909">
      <w:pPr>
        <w:pStyle w:val="ListParagraph"/>
        <w:numPr>
          <w:ilvl w:val="0"/>
          <w:numId w:val="3"/>
        </w:numPr>
        <w:spacing w:after="0"/>
      </w:pPr>
      <w:r>
        <w:rPr>
          <w:rFonts w:ascii="Gill Sans MT" w:hAnsi="Gill Sans MT" w:cs="Calibri"/>
        </w:rPr>
        <w:t>It is expected that there will be bids for more funds than are available in each year.</w:t>
      </w:r>
    </w:p>
    <w:p w:rsidR="00B54D6F" w:rsidRDefault="00731909">
      <w:pPr>
        <w:pStyle w:val="ListParagraph"/>
        <w:numPr>
          <w:ilvl w:val="6"/>
          <w:numId w:val="3"/>
        </w:numPr>
        <w:spacing w:after="0"/>
        <w:ind w:left="709"/>
      </w:pPr>
      <w:r>
        <w:rPr>
          <w:rFonts w:ascii="Gill Sans MT" w:hAnsi="Gill Sans MT" w:cs="Calibri"/>
        </w:rPr>
        <w:t>Applications for smaller amounts of money, or small projects, will be treated as of equal worth to larger bids/projects.</w:t>
      </w:r>
    </w:p>
    <w:p w:rsidR="00B54D6F" w:rsidRDefault="00731909">
      <w:pPr>
        <w:pStyle w:val="ListParagraph"/>
        <w:numPr>
          <w:ilvl w:val="0"/>
          <w:numId w:val="3"/>
        </w:numPr>
        <w:spacing w:after="0"/>
      </w:pPr>
      <w:r>
        <w:rPr>
          <w:rFonts w:ascii="Gill Sans MT" w:hAnsi="Gill Sans MT" w:cs="Calibri"/>
        </w:rPr>
        <w:t>The Grant Panel may offer applicants grants of less than is applied for.  In these cases you will be asked how this affects</w:t>
      </w:r>
      <w:r>
        <w:rPr>
          <w:rFonts w:ascii="Gill Sans MT" w:hAnsi="Gill Sans MT" w:cs="Calibri"/>
          <w:szCs w:val="24"/>
        </w:rPr>
        <w:t xml:space="preserve"> your timetable, activities or outcomes</w:t>
      </w:r>
      <w:r>
        <w:rPr>
          <w:rFonts w:ascii="Gill Sans MT" w:hAnsi="Gill Sans MT" w:cs="Calibri"/>
          <w:sz w:val="24"/>
          <w:szCs w:val="24"/>
        </w:rPr>
        <w:t>.</w:t>
      </w:r>
    </w:p>
    <w:p w:rsidR="00B54D6F" w:rsidRDefault="00731909">
      <w:pPr>
        <w:pStyle w:val="ListParagraph"/>
        <w:numPr>
          <w:ilvl w:val="0"/>
          <w:numId w:val="3"/>
        </w:numPr>
        <w:spacing w:after="0"/>
      </w:pPr>
      <w:r>
        <w:rPr>
          <w:rFonts w:ascii="Gill Sans MT" w:hAnsi="Gill Sans MT" w:cs="Calibri"/>
        </w:rPr>
        <w:t xml:space="preserve">This is a county fund, there will not be apportionments or ring-fencing for geographical areas; however, the Grant Panel </w:t>
      </w:r>
      <w:r>
        <w:rPr>
          <w:rFonts w:ascii="Gill Sans MT" w:hAnsi="Gill Sans MT" w:cs="Calibri"/>
          <w:i/>
        </w:rPr>
        <w:t>will</w:t>
      </w:r>
      <w:r>
        <w:rPr>
          <w:rFonts w:ascii="Gill Sans MT" w:hAnsi="Gill Sans MT" w:cs="Calibri"/>
        </w:rPr>
        <w:t xml:space="preserve"> consider a number of balancing criteria including geographical spread.</w:t>
      </w:r>
    </w:p>
    <w:p w:rsidR="00B54D6F" w:rsidRDefault="00B54D6F">
      <w:pPr>
        <w:pStyle w:val="Standard"/>
        <w:spacing w:after="0"/>
        <w:rPr>
          <w:rFonts w:ascii="Gill Sans MT" w:hAnsi="Gill Sans MT"/>
          <w:b/>
          <w:sz w:val="24"/>
          <w:szCs w:val="23"/>
        </w:rPr>
      </w:pPr>
    </w:p>
    <w:p w:rsidR="00B54D6F" w:rsidRDefault="00731909">
      <w:pPr>
        <w:pStyle w:val="Standard"/>
        <w:spacing w:after="0"/>
      </w:pPr>
      <w:r>
        <w:rPr>
          <w:rFonts w:ascii="Gill Sans MT" w:hAnsi="Gill Sans MT"/>
          <w:b/>
          <w:sz w:val="24"/>
          <w:szCs w:val="23"/>
        </w:rPr>
        <w:t>NB Applications will be assessed against the following criteria:</w:t>
      </w:r>
    </w:p>
    <w:p w:rsidR="00B54D6F" w:rsidRDefault="00731909">
      <w:pPr>
        <w:pStyle w:val="ListParagraph"/>
        <w:numPr>
          <w:ilvl w:val="0"/>
          <w:numId w:val="12"/>
        </w:numPr>
        <w:spacing w:after="0"/>
      </w:pPr>
      <w:r>
        <w:rPr>
          <w:rFonts w:ascii="Gill Sans MT" w:hAnsi="Gill Sans MT" w:cs="Calibri"/>
          <w:b/>
        </w:rPr>
        <w:t>How well the activity contributes to the ambitions of the</w:t>
      </w:r>
    </w:p>
    <w:p w:rsidR="00B54D6F" w:rsidRDefault="00731909">
      <w:pPr>
        <w:pStyle w:val="ListParagraph"/>
        <w:spacing w:after="0"/>
      </w:pPr>
      <w:r>
        <w:rPr>
          <w:rFonts w:ascii="Gill Sans MT" w:hAnsi="Gill Sans MT" w:cs="Calibri"/>
          <w:b/>
        </w:rPr>
        <w:tab/>
        <w:t>Worcestershire World War One Hundred project aims.</w:t>
      </w:r>
    </w:p>
    <w:p w:rsidR="00B54D6F" w:rsidRDefault="00731909">
      <w:pPr>
        <w:pStyle w:val="ListParagraph"/>
        <w:numPr>
          <w:ilvl w:val="0"/>
          <w:numId w:val="7"/>
        </w:numPr>
        <w:spacing w:after="0"/>
      </w:pPr>
      <w:r>
        <w:rPr>
          <w:rFonts w:ascii="Gill Sans MT" w:hAnsi="Gill Sans MT" w:cs="Calibri"/>
          <w:b/>
        </w:rPr>
        <w:t>Clear and appropriate budget.</w:t>
      </w:r>
    </w:p>
    <w:p w:rsidR="00B54D6F" w:rsidRDefault="00B54D6F">
      <w:pPr>
        <w:pStyle w:val="Standard"/>
        <w:spacing w:after="0"/>
        <w:rPr>
          <w:rFonts w:ascii="Gill Sans MT" w:hAnsi="Gill Sans MT"/>
        </w:rPr>
      </w:pPr>
    </w:p>
    <w:p w:rsidR="00B54D6F" w:rsidRDefault="00731909">
      <w:pPr>
        <w:pStyle w:val="Standard"/>
        <w:spacing w:after="0"/>
      </w:pPr>
      <w:r>
        <w:rPr>
          <w:rFonts w:ascii="Gill Sans MT" w:hAnsi="Gill Sans MT"/>
          <w:b/>
        </w:rPr>
        <w:t>The Grant Panel will consist of:</w:t>
      </w:r>
    </w:p>
    <w:p w:rsidR="00B54D6F" w:rsidRDefault="00731909">
      <w:pPr>
        <w:pStyle w:val="ListParagraph"/>
        <w:numPr>
          <w:ilvl w:val="0"/>
          <w:numId w:val="13"/>
        </w:numPr>
        <w:spacing w:after="0"/>
      </w:pPr>
      <w:r>
        <w:rPr>
          <w:rFonts w:ascii="Gill Sans MT" w:hAnsi="Gill Sans MT"/>
          <w:sz w:val="23"/>
          <w:szCs w:val="23"/>
        </w:rPr>
        <w:t>Project Manager/Officer.</w:t>
      </w:r>
    </w:p>
    <w:p w:rsidR="00B54D6F" w:rsidRDefault="00731909">
      <w:pPr>
        <w:pStyle w:val="ListParagraph"/>
        <w:numPr>
          <w:ilvl w:val="0"/>
          <w:numId w:val="2"/>
        </w:numPr>
        <w:spacing w:after="0"/>
      </w:pPr>
      <w:r>
        <w:rPr>
          <w:rFonts w:ascii="Gill Sans MT" w:hAnsi="Gill Sans MT" w:cs="Calibri"/>
          <w:sz w:val="23"/>
          <w:szCs w:val="23"/>
        </w:rPr>
        <w:t>Museum Development Officer</w:t>
      </w:r>
    </w:p>
    <w:p w:rsidR="00B54D6F" w:rsidRDefault="00731909">
      <w:pPr>
        <w:pStyle w:val="ListParagraph"/>
        <w:numPr>
          <w:ilvl w:val="0"/>
          <w:numId w:val="2"/>
        </w:numPr>
        <w:spacing w:after="0"/>
      </w:pPr>
      <w:r>
        <w:rPr>
          <w:rFonts w:ascii="Gill Sans MT" w:hAnsi="Gill Sans MT" w:cs="Calibri"/>
          <w:sz w:val="23"/>
          <w:szCs w:val="23"/>
        </w:rPr>
        <w:t>A project partner (may change from year to year)</w:t>
      </w:r>
    </w:p>
    <w:p w:rsidR="00B54D6F" w:rsidRDefault="00B54D6F">
      <w:pPr>
        <w:pStyle w:val="Standard"/>
        <w:spacing w:after="0"/>
        <w:rPr>
          <w:rFonts w:ascii="Gill Sans MT" w:hAnsi="Gill Sans MT" w:cs="Calibri"/>
          <w:b/>
          <w:sz w:val="18"/>
        </w:rPr>
      </w:pPr>
    </w:p>
    <w:p w:rsidR="00B54D6F" w:rsidRDefault="00731909">
      <w:pPr>
        <w:pStyle w:val="Standard"/>
        <w:spacing w:after="0"/>
      </w:pPr>
      <w:r>
        <w:rPr>
          <w:rFonts w:ascii="Gill Sans MT" w:hAnsi="Gill Sans MT" w:cs="Calibri"/>
          <w:b/>
          <w:sz w:val="28"/>
        </w:rPr>
        <w:t>Decisions</w:t>
      </w:r>
    </w:p>
    <w:p w:rsidR="003E6FFB" w:rsidRDefault="00731909">
      <w:pPr>
        <w:pStyle w:val="Standard"/>
        <w:spacing w:after="0"/>
        <w:rPr>
          <w:rFonts w:ascii="Gill Sans MT" w:hAnsi="Gill Sans MT"/>
          <w:b/>
          <w:bCs/>
          <w:sz w:val="24"/>
          <w:szCs w:val="23"/>
        </w:rPr>
      </w:pPr>
      <w:r>
        <w:rPr>
          <w:rFonts w:ascii="Gill Sans MT" w:hAnsi="Gill Sans MT"/>
          <w:sz w:val="23"/>
          <w:szCs w:val="23"/>
        </w:rPr>
        <w:t>The decision of the Grant Panel will be communicated to the applicants by email</w:t>
      </w:r>
      <w:r>
        <w:rPr>
          <w:rFonts w:ascii="Gill Sans MT" w:hAnsi="Gill Sans MT" w:cs="Calibri"/>
          <w:b/>
          <w:sz w:val="28"/>
        </w:rPr>
        <w:t xml:space="preserve"> </w:t>
      </w:r>
      <w:r>
        <w:rPr>
          <w:rFonts w:ascii="Gill Sans MT" w:hAnsi="Gill Sans MT"/>
          <w:sz w:val="23"/>
          <w:szCs w:val="23"/>
        </w:rPr>
        <w:t>b</w:t>
      </w:r>
      <w:r>
        <w:rPr>
          <w:rFonts w:ascii="Gill Sans MT" w:hAnsi="Gill Sans MT"/>
          <w:sz w:val="24"/>
          <w:szCs w:val="23"/>
        </w:rPr>
        <w:t xml:space="preserve">y </w:t>
      </w:r>
      <w:r w:rsidR="003E6FFB">
        <w:rPr>
          <w:rFonts w:ascii="Gill Sans MT" w:hAnsi="Gill Sans MT"/>
          <w:b/>
          <w:bCs/>
          <w:sz w:val="24"/>
          <w:szCs w:val="23"/>
        </w:rPr>
        <w:t>within a calendar month.</w:t>
      </w:r>
    </w:p>
    <w:p w:rsidR="00B54D6F" w:rsidRDefault="00731909">
      <w:pPr>
        <w:pStyle w:val="Standard"/>
        <w:spacing w:after="0"/>
      </w:pPr>
      <w:bookmarkStart w:id="0" w:name="_GoBack"/>
      <w:bookmarkEnd w:id="0"/>
      <w:r>
        <w:rPr>
          <w:rFonts w:ascii="Gill Sans MT" w:hAnsi="Gill Sans MT"/>
          <w:sz w:val="23"/>
          <w:szCs w:val="23"/>
        </w:rPr>
        <w:t>A formal offer of the grant will be given.</w:t>
      </w:r>
    </w:p>
    <w:p w:rsidR="00B54D6F" w:rsidRDefault="00731909">
      <w:pPr>
        <w:pStyle w:val="Standard"/>
        <w:spacing w:after="0"/>
      </w:pPr>
      <w:r>
        <w:rPr>
          <w:rFonts w:ascii="Gill Sans MT" w:hAnsi="Gill Sans MT"/>
          <w:sz w:val="23"/>
          <w:szCs w:val="23"/>
        </w:rPr>
        <w:t xml:space="preserve">The applicant must formally accept the offer and grant conditions by post within </w:t>
      </w:r>
      <w:r>
        <w:rPr>
          <w:rFonts w:ascii="Gill Sans MT" w:hAnsi="Gill Sans MT"/>
          <w:b/>
          <w:sz w:val="23"/>
          <w:szCs w:val="23"/>
        </w:rPr>
        <w:t>two weeks</w:t>
      </w:r>
      <w:r>
        <w:rPr>
          <w:rFonts w:ascii="Gill Sans MT" w:hAnsi="Gill Sans MT"/>
          <w:sz w:val="23"/>
          <w:szCs w:val="23"/>
        </w:rPr>
        <w:t xml:space="preserve"> of the offer date.</w:t>
      </w:r>
    </w:p>
    <w:p w:rsidR="00B54D6F" w:rsidRDefault="00731909">
      <w:pPr>
        <w:pStyle w:val="Standard"/>
        <w:spacing w:after="0"/>
      </w:pPr>
      <w:r>
        <w:rPr>
          <w:rFonts w:ascii="Gill Sans MT" w:hAnsi="Gill Sans MT"/>
          <w:sz w:val="23"/>
          <w:szCs w:val="23"/>
        </w:rPr>
        <w:t>Every successful applicant will be required to complete an end of project report form</w:t>
      </w:r>
      <w:r>
        <w:rPr>
          <w:rFonts w:ascii="Gill Sans MT" w:hAnsi="Gill Sans MT"/>
          <w:b/>
          <w:sz w:val="23"/>
          <w:szCs w:val="23"/>
        </w:rPr>
        <w:t xml:space="preserve"> </w:t>
      </w:r>
      <w:r>
        <w:rPr>
          <w:rFonts w:ascii="Gill Sans MT" w:hAnsi="Gill Sans MT"/>
          <w:sz w:val="23"/>
          <w:szCs w:val="23"/>
        </w:rPr>
        <w:t>to be returned by an agreed date. This form will be forwarded with the grant offer.</w:t>
      </w:r>
    </w:p>
    <w:p w:rsidR="00B54D6F" w:rsidRDefault="00B54D6F">
      <w:pPr>
        <w:pStyle w:val="Standard"/>
        <w:spacing w:after="0"/>
        <w:rPr>
          <w:rFonts w:ascii="Gill Sans MT" w:hAnsi="Gill Sans MT"/>
          <w:sz w:val="23"/>
          <w:szCs w:val="23"/>
        </w:rPr>
      </w:pPr>
    </w:p>
    <w:p w:rsidR="00B54D6F" w:rsidRDefault="00B54D6F">
      <w:pPr>
        <w:pStyle w:val="Footer"/>
        <w:rPr>
          <w:rFonts w:ascii="Gill Sans MT" w:hAnsi="Gill Sans MT"/>
        </w:rPr>
      </w:pPr>
    </w:p>
    <w:sectPr w:rsidR="00B54D6F">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01" w:rsidRDefault="00731909">
      <w:r>
        <w:separator/>
      </w:r>
    </w:p>
  </w:endnote>
  <w:endnote w:type="continuationSeparator" w:id="0">
    <w:p w:rsidR="00DD0801" w:rsidRDefault="0073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i">
    <w:charset w:val="00"/>
    <w:family w:val="auto"/>
    <w:pitch w:val="variable"/>
  </w:font>
  <w:font w:name="ヒラギノ角ゴ Pro W3">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01" w:rsidRDefault="00731909">
      <w:r>
        <w:rPr>
          <w:color w:val="000000"/>
        </w:rPr>
        <w:separator/>
      </w:r>
    </w:p>
  </w:footnote>
  <w:footnote w:type="continuationSeparator" w:id="0">
    <w:p w:rsidR="00DD0801" w:rsidRDefault="0073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52C"/>
    <w:multiLevelType w:val="multilevel"/>
    <w:tmpl w:val="4A2E38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19E22978"/>
    <w:multiLevelType w:val="multilevel"/>
    <w:tmpl w:val="1B84097A"/>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28CC48F8"/>
    <w:multiLevelType w:val="multilevel"/>
    <w:tmpl w:val="2324880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9FC6F51"/>
    <w:multiLevelType w:val="multilevel"/>
    <w:tmpl w:val="AF06F232"/>
    <w:styleLink w:val="WWNum4"/>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3EE05EE0"/>
    <w:multiLevelType w:val="multilevel"/>
    <w:tmpl w:val="E98C2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B21EEB"/>
    <w:multiLevelType w:val="multilevel"/>
    <w:tmpl w:val="C5FE435A"/>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734731BF"/>
    <w:multiLevelType w:val="multilevel"/>
    <w:tmpl w:val="5576F138"/>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79CE16E5"/>
    <w:multiLevelType w:val="multilevel"/>
    <w:tmpl w:val="2DE65020"/>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0"/>
  </w:num>
  <w:num w:numId="8">
    <w:abstractNumId w:val="1"/>
    <w:lvlOverride w:ilvl="0">
      <w:startOverride w:val="1"/>
    </w:lvlOverride>
  </w:num>
  <w:num w:numId="9">
    <w:abstractNumId w:val="4"/>
  </w:num>
  <w:num w:numId="10">
    <w:abstractNumId w:val="6"/>
  </w:num>
  <w:num w:numId="11">
    <w:abstractNumId w:val="2"/>
  </w:num>
  <w:num w:numId="12">
    <w:abstractNumId w:val="0"/>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54D6F"/>
    <w:rsid w:val="003E6FFB"/>
    <w:rsid w:val="00594112"/>
    <w:rsid w:val="00731909"/>
    <w:rsid w:val="00B54D6F"/>
    <w:rsid w:val="00DD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hAnsi="Calibri"/>
      <w:sz w:val="22"/>
      <w:szCs w:val="22"/>
      <w:lang w:eastAsia="en-US"/>
    </w:rPr>
  </w:style>
  <w:style w:type="paragraph" w:customStyle="1" w:styleId="Heading">
    <w:name w:val="Heading"/>
    <w:basedOn w:val="Standard"/>
    <w:next w:val="Textbody"/>
    <w:pPr>
      <w:keepNext/>
      <w:spacing w:before="240" w:after="120"/>
    </w:pPr>
    <w:rPr>
      <w:rFonts w:ascii="Arial" w:eastAsia="Ka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AC-Bullets">
    <w:name w:val="AC-Bullets"/>
    <w:pPr>
      <w:widowControl/>
      <w:tabs>
        <w:tab w:val="left" w:pos="1437"/>
      </w:tabs>
      <w:suppressAutoHyphens/>
      <w:spacing w:after="280" w:line="280" w:lineRule="atLeast"/>
      <w:ind w:left="1077" w:hanging="357"/>
    </w:pPr>
    <w:rPr>
      <w:rFonts w:ascii="Arial" w:eastAsia="ヒラギノ角ゴ Pro W3" w:hAnsi="Arial"/>
      <w:color w:val="000000"/>
      <w:sz w:val="24"/>
    </w:rPr>
  </w:style>
  <w:style w:type="paragraph" w:styleId="ListParagraph">
    <w:name w:val="List Paragraph"/>
    <w:basedOn w:val="Standard"/>
    <w:pPr>
      <w:ind w:left="720"/>
    </w:pPr>
  </w:style>
  <w:style w:type="paragraph" w:styleId="Footer">
    <w:name w:val="footer"/>
    <w:basedOn w:val="Standard"/>
    <w:pPr>
      <w:suppressLineNumbers/>
      <w:tabs>
        <w:tab w:val="center" w:pos="4513"/>
        <w:tab w:val="right" w:pos="9026"/>
      </w:tabs>
      <w:spacing w:after="0" w:line="240" w:lineRule="auto"/>
    </w:pPr>
  </w:style>
  <w:style w:type="paragraph" w:styleId="Header">
    <w:name w:val="head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FooterChar">
    <w:name w:val="Footer Char"/>
    <w:basedOn w:val="DefaultParagraphFont"/>
    <w:rPr>
      <w:rFonts w:ascii="Calibri" w:hAnsi="Calibri"/>
      <w:sz w:val="22"/>
      <w:szCs w:val="22"/>
      <w:lang w:eastAsia="en-US"/>
    </w:rPr>
  </w:style>
  <w:style w:type="character" w:customStyle="1" w:styleId="HeaderChar">
    <w:name w:val="Header Char"/>
    <w:basedOn w:val="DefaultParagraphFont"/>
    <w:rPr>
      <w:rFonts w:ascii="Calibri" w:hAnsi="Calibri"/>
      <w:sz w:val="22"/>
      <w:szCs w:val="22"/>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ListLabel1">
    <w:name w:val="ListLabel 1"/>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hAnsi="Calibri"/>
      <w:sz w:val="22"/>
      <w:szCs w:val="22"/>
      <w:lang w:eastAsia="en-US"/>
    </w:rPr>
  </w:style>
  <w:style w:type="paragraph" w:customStyle="1" w:styleId="Heading">
    <w:name w:val="Heading"/>
    <w:basedOn w:val="Standard"/>
    <w:next w:val="Textbody"/>
    <w:pPr>
      <w:keepNext/>
      <w:spacing w:before="240" w:after="120"/>
    </w:pPr>
    <w:rPr>
      <w:rFonts w:ascii="Arial" w:eastAsia="Ka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AC-Bullets">
    <w:name w:val="AC-Bullets"/>
    <w:pPr>
      <w:widowControl/>
      <w:tabs>
        <w:tab w:val="left" w:pos="1437"/>
      </w:tabs>
      <w:suppressAutoHyphens/>
      <w:spacing w:after="280" w:line="280" w:lineRule="atLeast"/>
      <w:ind w:left="1077" w:hanging="357"/>
    </w:pPr>
    <w:rPr>
      <w:rFonts w:ascii="Arial" w:eastAsia="ヒラギノ角ゴ Pro W3" w:hAnsi="Arial"/>
      <w:color w:val="000000"/>
      <w:sz w:val="24"/>
    </w:rPr>
  </w:style>
  <w:style w:type="paragraph" w:styleId="ListParagraph">
    <w:name w:val="List Paragraph"/>
    <w:basedOn w:val="Standard"/>
    <w:pPr>
      <w:ind w:left="720"/>
    </w:pPr>
  </w:style>
  <w:style w:type="paragraph" w:styleId="Footer">
    <w:name w:val="footer"/>
    <w:basedOn w:val="Standard"/>
    <w:pPr>
      <w:suppressLineNumbers/>
      <w:tabs>
        <w:tab w:val="center" w:pos="4513"/>
        <w:tab w:val="right" w:pos="9026"/>
      </w:tabs>
      <w:spacing w:after="0" w:line="240" w:lineRule="auto"/>
    </w:pPr>
  </w:style>
  <w:style w:type="paragraph" w:styleId="Header">
    <w:name w:val="head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FooterChar">
    <w:name w:val="Footer Char"/>
    <w:basedOn w:val="DefaultParagraphFont"/>
    <w:rPr>
      <w:rFonts w:ascii="Calibri" w:hAnsi="Calibri"/>
      <w:sz w:val="22"/>
      <w:szCs w:val="22"/>
      <w:lang w:eastAsia="en-US"/>
    </w:rPr>
  </w:style>
  <w:style w:type="character" w:customStyle="1" w:styleId="HeaderChar">
    <w:name w:val="Header Char"/>
    <w:basedOn w:val="DefaultParagraphFont"/>
    <w:rPr>
      <w:rFonts w:ascii="Calibri" w:hAnsi="Calibri"/>
      <w:sz w:val="22"/>
      <w:szCs w:val="22"/>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ListLabel1">
    <w:name w:val="ListLabel 1"/>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Robert</dc:creator>
  <cp:lastModifiedBy>Roberts, Gillian (BEC, Archive and Archaeology)</cp:lastModifiedBy>
  <cp:revision>2</cp:revision>
  <dcterms:created xsi:type="dcterms:W3CDTF">2015-02-26T12:43:00Z</dcterms:created>
  <dcterms:modified xsi:type="dcterms:W3CDTF">2015-02-26T12:43:00Z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Worcestershire County Council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